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июля 2011 г. N 583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РАССМОТРЕНИЯ РАЗНОГЛАСИЙ, ВОЗНИКАЮЩИХ МЕЖДУ ОРГАНАМИ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ЦЕН (ТАРИФОВ) В СФЕРЕ ТЕПЛОСНАБЖЕНИЯ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ОРГАНИЗАЦИЯМИ, ОСУЩЕСТВЛЯЮЩИМИ РЕГУЛИРУЕМЫЕ ВИДЫ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В СФЕРЕ ТЕПЛОСНАБЖЕНИЯ, В СВЯЗИ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ВЫБОРОМ МЕТОДА РЕГУЛИРОВАНИЯ ЦЕН (ТАРИФОВ)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теплоснабжении" Правительство Российской Федерации постановляет: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0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рассмотрения разногласий, 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</w:t>
      </w:r>
      <w:hyperlink w:anchor="Par30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, утвержденные настоящим постановлением, подлежат применению со дня вступления в силу </w:t>
      </w:r>
      <w:hyperlink r:id="rId5" w:history="1">
        <w:r>
          <w:rPr>
            <w:rFonts w:ascii="Calibri" w:hAnsi="Calibri" w:cs="Calibri"/>
            <w:color w:val="0000FF"/>
          </w:rPr>
          <w:t>основ</w:t>
        </w:r>
      </w:hyperlink>
      <w:r>
        <w:rPr>
          <w:rFonts w:ascii="Calibri" w:hAnsi="Calibri" w:cs="Calibri"/>
        </w:rPr>
        <w:t xml:space="preserve"> ценообразования и </w:t>
      </w:r>
      <w:hyperlink r:id="rId6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регулирования цен (тарифов) в сфере теплоснабжения, утверждаемых Правительством Российской Федерации.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Утверждены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июля 2011 г. N 583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ПРАВИЛА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РАССМОТРЕНИЯ РАЗНОГЛАСИЙ, ВОЗНИКАЮЩИХ МЕЖДУ ОРГАНАМИ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ЦЕН (ТАРИФОВ) В СФЕРЕ ТЕПЛОСНАБЖЕНИЯ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ОРГАНИЗАЦИЯМИ, ОСУЩЕСТВЛЯЮЩИМИ РЕГУЛИРУЕМЫЕ ВИДЫ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В СФЕРЕ ТЕПЛОСНАБЖЕНИЯ, В СВЯЗИ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ВЫБОРОМ МЕТОДА РЕГУЛИРОВАНИЯ ЦЕН (ТАРИФОВ)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Правила 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9</w:t>
        </w:r>
      </w:hyperlink>
      <w:r>
        <w:rPr>
          <w:rFonts w:ascii="Calibri" w:hAnsi="Calibri" w:cs="Calibri"/>
        </w:rPr>
        <w:t xml:space="preserve"> Федерального закона "О теплоснабжении" устанавливают порядок и сроки рассмотрения разногласий, возникающих между уполномоченными органами исполнительной власти субъекта Российской Федерации в области государственного регулирования цен (тарифов),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Федерации, осуществляющими регулирование цен (тарифов) в сфере теплоснабжения (далее соответственно - разногласия, органы</w:t>
      </w:r>
      <w:proofErr w:type="gramEnd"/>
      <w:r>
        <w:rPr>
          <w:rFonts w:ascii="Calibri" w:hAnsi="Calibri" w:cs="Calibri"/>
        </w:rPr>
        <w:t xml:space="preserve"> регулирования), и организациями, осуществляющими регулируемые виды деятельности в сфере теплоснабжения (далее - регулируемые организации), в связи с выбором органом регулирования метода регулирования цен (тарифов) в сфере теплоснабжения, установление которых осуществляется в соответствии с указанным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lastRenderedPageBreak/>
        <w:t xml:space="preserve">2. </w:t>
      </w:r>
      <w:proofErr w:type="gramStart"/>
      <w:r>
        <w:rPr>
          <w:rFonts w:ascii="Calibri" w:hAnsi="Calibri" w:cs="Calibri"/>
        </w:rPr>
        <w:t>Основанием для рассмотрения разногласий является письменное заявление о разногласиях, поданное регулируемой организацией, в отношении которой органом регулирования было принято решение о выборе метода регулирования цен (тарифов) на расчетный период регулирования (далее соответственно - заявление, заявитель), в Федеральную службу по тарифам не позднее чем в течение 30 календарных дней с даты принятия органом регулирования решения о выборе метода регулирования цен (тарифов) для</w:t>
      </w:r>
      <w:proofErr w:type="gramEnd"/>
      <w:r>
        <w:rPr>
          <w:rFonts w:ascii="Calibri" w:hAnsi="Calibri" w:cs="Calibri"/>
        </w:rPr>
        <w:t xml:space="preserve"> заявителя на очередной период регулирования.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Заявление, поданное заявителем позже срока, установленного </w:t>
      </w:r>
      <w:hyperlink w:anchor="Par38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настоящих Правил, принимается к рассмотрению в случае нарушения органом регулирования срока уведомления регулируемой организации о согласовании либо об отказе в согласовании выбранного регулируемой организацией </w:t>
      </w:r>
      <w:hyperlink r:id="rId9" w:history="1">
        <w:r>
          <w:rPr>
            <w:rFonts w:ascii="Calibri" w:hAnsi="Calibri" w:cs="Calibri"/>
            <w:color w:val="0000FF"/>
          </w:rPr>
          <w:t>метода</w:t>
        </w:r>
      </w:hyperlink>
      <w:r>
        <w:rPr>
          <w:rFonts w:ascii="Calibri" w:hAnsi="Calibri" w:cs="Calibri"/>
        </w:rPr>
        <w:t xml:space="preserve"> регулирования, установленного правилами регулирования цен (тарифов) в сфере теплоснабжения, утверждаемыми Правительством Российской Федерации.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Причина пропуска срока подачи заявления должна быть указана заявителем в прилагаемом к заявлению ходатайстве о восстановлении пропущенного срока.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Заявление, подписанное заявителем (его полномочным представителем) и заверенное печатью, а также прилагаемые к заявлению обосновывающие документы и материалы (подлинники или копии, заверенные подписью ответственного лица и печатью заявителя) представляются в Федеральную службу по тарифам на бумажном носителе в 2 экземплярах.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Одновременно с представлением заявления в Федеральную службу по тарифам заявителем представляется документ, который подтверждает направление заявителем копии заявления и приложенных к нему материалов в орган регулирования, решение которого оспаривается в заявлении.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заявлении указываются: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заявителя, его место нахождения с указанием почтового индекса, номер (номера) телефона и адреса электронной почты;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наименование органа регулирования, решение которого оспаривается, и реквизиты этого решения;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требования заявителя;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обоснование заявленных требований;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перечень приложенных к заявлению обосновывающих документов и материалов.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Заявление с прилагаемыми документами в течение 10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подлежит рассмотрению на предмет соответствия требованиям, установленным настоящими Правилами.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Заявление в случае его несоответствия требованиям, установленным настоящими Правилами, к рассмотрению не принимается и подлежит возврату заявителю в течение 10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с указанием причин возврата.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принятии к рассмотрению заявления может быть отказано в случае: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пропуска заявителем срока подачи заявления и отсутствия в поданных в Федеральную службу по тарифам материалах ходатайства о восстановлении пропущенного срока;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отказа в удовлетворении ходатайства о восстановлении пропущенного срока;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отсутствия в заявлении требований, являющихся предметом рассмотрения разногласий.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Уведомление об отказе в рассмотрении заявления с указанием причины отказа направляется заявителю в течение 10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заявления в Федеральную службу по тарифам.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В случае принятия заявления к рассмотрению заявителю направляется уведомление за подписью заместителя руководителя Федеральной службы по тарифам в течение 10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заявления в Федеральную службу по тарифам.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Решение по результатам рассмотрения разногласий принимается не позднее 30 рабочих дней </w:t>
      </w:r>
      <w:proofErr w:type="gramStart"/>
      <w:r>
        <w:rPr>
          <w:rFonts w:ascii="Calibri" w:hAnsi="Calibri" w:cs="Calibri"/>
        </w:rPr>
        <w:t>с даты принятия</w:t>
      </w:r>
      <w:proofErr w:type="gramEnd"/>
      <w:r>
        <w:rPr>
          <w:rFonts w:ascii="Calibri" w:hAnsi="Calibri" w:cs="Calibri"/>
        </w:rPr>
        <w:t xml:space="preserve"> заявления к рассмотрению. По результатам рассмотрения разногласий Федеральной службой по тарифам принимается решение: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 удовлетворении требований, указанных в заявлении;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отказе в удовлетворении требований, указанных в заявлении.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Рассмотрение разногласий может быть приостановлено в случае: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получения ходатайства одной из сторон о приостановлении рассмотрения разногласий;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необходимости получения дополнительных материалов и информации, а также привлечения к рассмотрению разногласий других лиц;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3"/>
      <w:bookmarkEnd w:id="4"/>
      <w:r>
        <w:rPr>
          <w:rFonts w:ascii="Calibri" w:hAnsi="Calibri" w:cs="Calibri"/>
        </w:rPr>
        <w:t>в) наличия документально подтвержденной информации о рассмотрении вопросов, относящихся к предмету рассмотрения разногласий, в иных органах государственной власти, решения которых могут иметь существенное значение для результатов рассмотрения разногласий.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Возобновление рассмотрения разногласий осуществляется после устранения причин, послуживших основанием для приостановления рассмотрения разногласий.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Приостановление и возобновление рассмотрения разногласий осуществляются на основании решения Федеральной службы по тарифам.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Причины приостановления или возобновления рассмотрения разногласий должны быть указаны в решении о приостановлении или возобновлении рассмотрения разногласий.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Приостановление рассмотрения разногласий допускается на срок не более 2 месяцев, за исключением случаев, предусмотренных </w:t>
      </w:r>
      <w:hyperlink w:anchor="Par63" w:history="1">
        <w:r>
          <w:rPr>
            <w:rFonts w:ascii="Calibri" w:hAnsi="Calibri" w:cs="Calibri"/>
            <w:color w:val="0000FF"/>
          </w:rPr>
          <w:t>подпунктом "в" пункта 11</w:t>
        </w:r>
      </w:hyperlink>
      <w:r>
        <w:rPr>
          <w:rFonts w:ascii="Calibri" w:hAnsi="Calibri" w:cs="Calibri"/>
        </w:rPr>
        <w:t xml:space="preserve"> настоящих Правил.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Рассмотрение разногласий может быть прекращено до вынесения решения в случае: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ликвидации юридического лица - заявителя;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направления сторонами в Федеральную службу по тарифам заявления о достижении ими согласия;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отзыва заявителем заявления;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выявления в ходе рассмотрения разногласий обстоятельств, свидетельствующих о том, что рассмотрение вопросов, содержащихся в заявлении, не относится к предмету рассмотрения разногласий;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наличия вступившего в законную силу судебного акта, в котором содержатся выводы о нарушениях законодательства Российской Федерации, связанных с предметом рассмотрения разногласий.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Решения Федеральной службы по тарифам о приостановлении, возобновлении или прекращении рассмотрения разногласий направляются сторонам в течение 5 рабочих дней с даты их принятия.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Рассмотрение разногласий осуществляется Федеральной службой по тарифам на согласительных совещаниях под председательством руководителя Федеральной службы по тарифам или его заместителя с приглашением представителей сторон.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Стороны должны быть извещены о дате, времени и месте проведения согласительного совещания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5 календарных дней до даты его проведения.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Разногласия могут быть рассмотрены в отсутствие представителей сторон (стороны) на основании их письменного заявления или в случае неявки представителей стороны (сторон), если они были надлежащим образом уведомлены о месте и времени проведения согласительного совещания.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Ход согласительного совещания отражается в протоколе, в котором указываются: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и место рассмотрения разногласий;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существо рассматриваемого вопроса;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явке лиц, участвующих в рассмотрении разногласий;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представленных в Федеральную службу по тарифам документах, удостоверяющих личность и подтверждающих полномочия лиц, участвующих в рассмотрении разногласий;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устные заявления и ходатайства лиц, участвующих в согласительном совещании;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сведения о материалах, которые были исследованы в процессе рассмотрения разногласий;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иные сведения, явившиеся основанием для принятия решения.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В процессе рассмотрения разногласий Федеральная служба по тарифам вправе запросить дополнительные материалы и информацию, необходимые для принятия обоснованного решения о рассмотрении разногласий.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Решение, принятое по результатам рассмотрения разногласий, оформляется приказом Федеральной службы по тарифам, направляется сторонам в течение 5 рабочих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</w:t>
      </w:r>
      <w:r>
        <w:rPr>
          <w:rFonts w:ascii="Calibri" w:hAnsi="Calibri" w:cs="Calibri"/>
        </w:rPr>
        <w:lastRenderedPageBreak/>
        <w:t>принятия и подлежит опубликованию в информационном бюллетене Федеральной службы по тарифам.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Решение Федеральной службы по тарифам, принятое по результатам рассмотрения разногласий, обязательно для исполнения органами регулирования и подлежит исполнению в течение 1 месяца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принятия в порядке, установленном этим решением.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Органы регулирования обязаны проинформировать Федеральную службу по тарифам об исполнении ее решений, принятых по результатам рассмотрения разногласий, в течение 7 рабочих дней </w:t>
      </w:r>
      <w:proofErr w:type="gramStart"/>
      <w:r>
        <w:rPr>
          <w:rFonts w:ascii="Calibri" w:hAnsi="Calibri" w:cs="Calibri"/>
        </w:rPr>
        <w:t>с даты исполнения</w:t>
      </w:r>
      <w:proofErr w:type="gramEnd"/>
      <w:r>
        <w:rPr>
          <w:rFonts w:ascii="Calibri" w:hAnsi="Calibri" w:cs="Calibri"/>
        </w:rPr>
        <w:t xml:space="preserve"> решения в порядке, установленном Федеральной службой по тарифам в этом решении.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Решение, принятое по результатам рассмотрения разногласий, может быть обжаловано в установленном законом порядке.</w:t>
      </w: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288E" w:rsidRDefault="00D02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288E" w:rsidRDefault="00D0288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623" w:rsidRDefault="003F6623"/>
    <w:sectPr w:rsidR="003F6623" w:rsidSect="0004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D0288E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6EFF"/>
    <w:rsid w:val="0039714E"/>
    <w:rsid w:val="00397933"/>
    <w:rsid w:val="003A0767"/>
    <w:rsid w:val="003A1367"/>
    <w:rsid w:val="003A17D9"/>
    <w:rsid w:val="003A200F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6008E9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6140C"/>
    <w:rsid w:val="006624CE"/>
    <w:rsid w:val="00662638"/>
    <w:rsid w:val="0066290C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7022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C73C0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60EEB"/>
    <w:rsid w:val="00961324"/>
    <w:rsid w:val="00961F9E"/>
    <w:rsid w:val="00962F46"/>
    <w:rsid w:val="0096343B"/>
    <w:rsid w:val="00963CE4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58CD"/>
    <w:rsid w:val="009D6545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433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88E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C97"/>
    <w:rsid w:val="00DA3F3B"/>
    <w:rsid w:val="00DA4894"/>
    <w:rsid w:val="00DA5FEE"/>
    <w:rsid w:val="00DA67C3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1056F06B3207C233534D80A8AAFC4F69FC4C20D2C40D4547F32E7D6S0l0D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51056F06B3207C233534D80A8AAFC4F69FC4C20D2C40D4547F32E7D600FF967323C78E237C89DAS9l9D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51056F06B3207C233534D80A8AAFC4F69CCDC6072D40D4547F32E7D600FF967323C78E237C8BD5S9l4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451056F06B3207C233534D80A8AAFC4F69CCDC6072D40D4547F32E7D600FF967323C78E237C88DFS9lD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451056F06B3207C233534D80A8AAFC4F69FC4C20D2C40D4547F32E7D600FF967323C78E237C89DBS9lDD" TargetMode="External"/><Relationship Id="rId9" Type="http://schemas.openxmlformats.org/officeDocument/2006/relationships/hyperlink" Target="consultantplus://offline/ref=7451056F06B3207C233534D80A8AAFC4F69CCDC6072D40D4547F32E7D600FF967323C78E237C89DCS9l8D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A644995C42F4B90DD4EA64E8300FC" ma:contentTypeVersion="2" ma:contentTypeDescription="Создание документа." ma:contentTypeScope="" ma:versionID="82ef2925c03914ff082a2217b85f34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9c6348cacac3e09fd8c5da5847939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A2A46C-D221-4E63-A79F-03B51717B670}"/>
</file>

<file path=customXml/itemProps2.xml><?xml version="1.0" encoding="utf-8"?>
<ds:datastoreItem xmlns:ds="http://schemas.openxmlformats.org/officeDocument/2006/customXml" ds:itemID="{FFAD6ABE-29E3-42E0-AB66-FBDDACC3F2FA}"/>
</file>

<file path=customXml/itemProps3.xml><?xml version="1.0" encoding="utf-8"?>
<ds:datastoreItem xmlns:ds="http://schemas.openxmlformats.org/officeDocument/2006/customXml" ds:itemID="{79EE852E-4102-4AEE-BAD7-14E60111E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9410</Characters>
  <Application>Microsoft Office Word</Application>
  <DocSecurity>0</DocSecurity>
  <Lines>78</Lines>
  <Paragraphs>22</Paragraphs>
  <ScaleCrop>false</ScaleCrop>
  <Company/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kuv</cp:lastModifiedBy>
  <cp:revision>1</cp:revision>
  <dcterms:created xsi:type="dcterms:W3CDTF">2014-05-13T03:37:00Z</dcterms:created>
  <dcterms:modified xsi:type="dcterms:W3CDTF">2014-05-13T03:37:00Z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0x010100359A644995C42F4B90DD4EA64E8300FC</vt:lpwstr>
  </property>
</Properties>
</file>